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lang w:eastAsia="zh-CN"/>
        </w:rPr>
        <w:t>北京</w:t>
      </w:r>
      <w:r>
        <w:rPr>
          <w:rFonts w:hint="eastAsia" w:ascii="方正小标宋简体" w:eastAsia="方正小标宋简体"/>
          <w:sz w:val="36"/>
          <w:szCs w:val="36"/>
          <w:lang w:val="en-US" w:eastAsia="zh-CN"/>
        </w:rPr>
        <w:t>CBD论坛</w:t>
      </w:r>
      <w:r>
        <w:rPr>
          <w:rFonts w:hint="eastAsia" w:ascii="方正小标宋简体" w:eastAsia="方正小标宋简体"/>
          <w:sz w:val="36"/>
          <w:szCs w:val="36"/>
          <w:lang w:eastAsia="zh-CN"/>
        </w:rPr>
        <w:t>项目绩效评价报告</w:t>
      </w:r>
    </w:p>
    <w:p>
      <w:pPr>
        <w:jc w:val="center"/>
        <w:rPr>
          <w:rFonts w:ascii="仿宋_GB2312" w:eastAsia="仿宋_GB2312"/>
          <w:sz w:val="32"/>
          <w:szCs w:val="32"/>
        </w:rPr>
      </w:pP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numPr>
          <w:ilvl w:val="0"/>
          <w:numId w:val="0"/>
        </w:num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（一）项目概况</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项目背景</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CBD论坛（原名为北京CBD商务节）是商务中心区管委会为助力北京市加速推进国际交往中心功能建设和国际消费中心功能建设而提出，旨在进一步拓宽国际视野，提高城市国际化程度，更好地实现创新引领新发展，积极吸引全球要素资源，多渠道扩大优质商品和服务供给，推动更高水平开放。自2000年首次举办，至2024年北京CBD论坛已成功举办25届，成为北京市最重要的商务活动之一。</w:t>
      </w:r>
    </w:p>
    <w:p>
      <w:pPr>
        <w:numPr>
          <w:ilvl w:val="0"/>
          <w:numId w:val="2"/>
        </w:num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项目实施</w:t>
      </w:r>
      <w:r>
        <w:rPr>
          <w:rFonts w:hint="eastAsia" w:ascii="楷体_GB2312" w:hAnsi="楷体_GB2312" w:eastAsia="楷体_GB2312" w:cs="楷体_GB2312"/>
          <w:sz w:val="32"/>
          <w:szCs w:val="32"/>
        </w:rPr>
        <w:t>情况</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北京CBD论坛项目主要内容包括举办2024北京CBD论坛。资金用于会务搭建服务费用、宣传服务费用、组织筹备服务费用、媒体服务费用。</w:t>
      </w:r>
    </w:p>
    <w:p>
      <w:pPr>
        <w:numPr>
          <w:ilvl w:val="0"/>
          <w:numId w:val="2"/>
        </w:numPr>
        <w:spacing w:line="600" w:lineRule="exact"/>
        <w:ind w:left="0" w:leftChars="0"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项目资金情况</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项目共计申请拨付资金360万元。截至2024年12月31日，项目已累计完成支付356.3万元，预算执行率98.97%。剩余资金额度3.7万元已由区财政局收回。</w:t>
      </w:r>
    </w:p>
    <w:p>
      <w:pPr>
        <w:numPr>
          <w:ilvl w:val="0"/>
          <w:numId w:val="0"/>
        </w:num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（二）项目绩效目标</w:t>
      </w:r>
    </w:p>
    <w:p>
      <w:pPr>
        <w:numPr>
          <w:ilvl w:val="0"/>
          <w:numId w:val="3"/>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总体目标</w:t>
      </w:r>
    </w:p>
    <w:p>
      <w:pPr>
        <w:numPr>
          <w:ilvl w:val="0"/>
          <w:numId w:val="0"/>
        </w:num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搭建全球视野和引领前沿的高层次国际交往平台，打造北京市对外开放的国际性高层次对话发声平台，充分展示中国首都、朝阳区、北京CBD的发展建设成就和良好的营商环境，塑造朝阳区、北京CBD开放活力、高质量发展的品牌形象，邀请国际组织等外籍人员参会，加强报道。</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产出质量指标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网络直播：≥1次/年；</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累计影响力人次规模：≥300万人次。</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产出时效指标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论坛举办完成时间≤10月（其中，事前准备阶段：5月-6月；集中工作阶段：7月-8月；实施阶段：9月-10月）。</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产出数量指标</w:t>
      </w:r>
    </w:p>
    <w:p>
      <w:pPr>
        <w:numPr>
          <w:ilvl w:val="0"/>
          <w:numId w:val="0"/>
        </w:numPr>
        <w:spacing w:line="600" w:lineRule="exact"/>
        <w:ind w:leftChars="200"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按要求次数：≥1次/年。</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社会效益指标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提升北京CBD国际影响力和社会关注度的总报道篇数：总报道不少于300篇次。</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可持续影响指标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持续打造北京CBD对外开放高地：优。</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产出成本指标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总成本费用≤360.00万元（其中，论坛组织筹备：110.00万元；论坛会务：140.00万元；论坛宣传报道：80.00万元；论坛专版报道（含直播）：30.00万元；）。</w:t>
      </w:r>
    </w:p>
    <w:p>
      <w:pPr>
        <w:numPr>
          <w:ilvl w:val="0"/>
          <w:numId w:val="3"/>
        </w:num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服务对象满意度指标</w:t>
      </w:r>
    </w:p>
    <w:p>
      <w:pPr>
        <w:numPr>
          <w:ilvl w:val="0"/>
          <w:numId w:val="0"/>
        </w:numPr>
        <w:spacing w:line="600" w:lineRule="exact"/>
        <w:ind w:firstLine="640" w:firstLineChars="200"/>
        <w:rPr>
          <w:rFonts w:hint="default" w:ascii="楷体_GB2312" w:hAnsi="楷体_GB2312" w:eastAsia="楷体_GB2312" w:cs="楷体_GB2312"/>
          <w:sz w:val="32"/>
          <w:szCs w:val="32"/>
          <w:lang w:val="en-US" w:eastAsia="zh-CN"/>
        </w:rPr>
      </w:pPr>
      <w:r>
        <w:rPr>
          <w:rFonts w:hint="eastAsia" w:ascii="仿宋_GB2312" w:hAnsi="仿宋_GB2312" w:eastAsia="仿宋_GB2312" w:cs="仿宋_GB2312"/>
          <w:sz w:val="32"/>
          <w:szCs w:val="32"/>
          <w:lang w:val="en-US" w:eastAsia="zh-CN"/>
        </w:rPr>
        <w:t>参会人员满意度：≥90%。</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绩效评价，衡量和考核北京CBD论坛项目的绩效完成情况，了解、分析、检验资金使用是否达到预期目标，资金管理是否规范，资金使用是否有效，通过总结经验，分析问题，采取切实措施进一步改进和加强财政支出项目管理，提高财政资金使用效益。此次主要针对北京CBD论坛项目实施绩效评价，涉及财政资金360.00万元。</w:t>
      </w:r>
    </w:p>
    <w:p>
      <w:pPr>
        <w:numPr>
          <w:ilvl w:val="0"/>
          <w:numId w:val="0"/>
        </w:num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绩效评价</w:t>
      </w:r>
      <w:r>
        <w:rPr>
          <w:rFonts w:hint="eastAsia" w:ascii="楷体_GB2312" w:hAnsi="楷体_GB2312" w:eastAsia="楷体_GB2312" w:cs="楷体_GB2312"/>
          <w:sz w:val="32"/>
          <w:szCs w:val="32"/>
          <w:lang w:eastAsia="zh-CN"/>
        </w:rPr>
        <w:t>思路及方法</w:t>
      </w:r>
    </w:p>
    <w:p>
      <w:pPr>
        <w:numPr>
          <w:ilvl w:val="0"/>
          <w:numId w:val="4"/>
        </w:num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评价</w:t>
      </w:r>
      <w:r>
        <w:rPr>
          <w:rFonts w:hint="eastAsia" w:ascii="楷体_GB2312" w:hAnsi="楷体_GB2312" w:eastAsia="楷体_GB2312" w:cs="楷体_GB2312"/>
          <w:sz w:val="32"/>
          <w:szCs w:val="32"/>
        </w:rPr>
        <w:t>原则</w:t>
      </w:r>
      <w:r>
        <w:rPr>
          <w:rFonts w:hint="eastAsia" w:ascii="楷体_GB2312" w:hAnsi="楷体_GB2312" w:eastAsia="楷体_GB2312" w:cs="楷体_GB2312"/>
          <w:sz w:val="32"/>
          <w:szCs w:val="32"/>
          <w:lang w:eastAsia="zh-CN"/>
        </w:rPr>
        <w:t>及方法</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绩效评价遵循“客观、公正、科学、规范”的原则，结合项目的实际情况，依据设定的绩效目标，运用科学、合理的绩效评价指标、评价标准和评价方法，对项目支出的经济性、效率性、效益性和公平性以及预算资金的投入、使用过程、产出和效果进行客观、公正的测量、分析和评判。通过对项目的决策情况、过程情况、产出和效益情况等的比较和分析，考核项目支出效率和支出效果。</w:t>
      </w:r>
    </w:p>
    <w:p>
      <w:pPr>
        <w:numPr>
          <w:ilvl w:val="0"/>
          <w:numId w:val="4"/>
        </w:numPr>
        <w:spacing w:line="600" w:lineRule="exact"/>
        <w:ind w:left="0" w:leftChars="0"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评价指标体系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北京市项目支出绩效评价管理办法》（京财绩效〔2020〕2146号）、《北京市市级政府购买服务预算绩效管理办法》（京财综〔2024〕213号），结合北京CBD论坛项目的内容特点和资金实际使用情况，以资金使用结果为导向，设定本项目的评价指标内容和权重，对项目年度目标进行合理设置。具体如下表：</w:t>
      </w:r>
    </w:p>
    <w:tbl>
      <w:tblPr>
        <w:tblStyle w:val="8"/>
        <w:tblW w:w="10290" w:type="dxa"/>
        <w:tblInd w:w="-9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55"/>
        <w:gridCol w:w="1185"/>
        <w:gridCol w:w="1710"/>
        <w:gridCol w:w="2012"/>
        <w:gridCol w:w="1423"/>
        <w:gridCol w:w="705"/>
        <w:gridCol w:w="1095"/>
        <w:gridCol w:w="885"/>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13" w:hRule="atLeast"/>
        </w:trPr>
        <w:tc>
          <w:tcPr>
            <w:tcW w:w="1029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项目名称</w:t>
            </w:r>
          </w:p>
        </w:tc>
        <w:tc>
          <w:tcPr>
            <w:tcW w:w="855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北京CBD论坛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7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3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b/>
                <w:i w:val="0"/>
                <w:color w:val="000000"/>
                <w:sz w:val="18"/>
                <w:szCs w:val="18"/>
                <w:u w:val="none"/>
              </w:rPr>
            </w:pP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年初预算数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全年预算数</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3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年度资金总额</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3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其中：当年财政拨款</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3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 xml:space="preserve">     上年结转资金</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i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3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 xml:space="preserve">  其他资金</w:t>
            </w: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i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5"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效</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一级指标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二级指标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绩效指标性质</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指标值</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绩效度量单位</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累计影响力人次规模</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300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万人次</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网络直播</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次/年</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论坛举办完成时间</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月</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按要求次数</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次/年</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提升北京CBD国际影响力和社会关注度的总报道篇数</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300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持续打造北京CBD对外开放高地</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default" w:ascii="Times New Roman" w:hAnsi="Times New Roman" w:eastAsia="宋体" w:cs="Times New Roman"/>
                <w:i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参会人员满意度</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成本费用</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957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总分</w:t>
            </w:r>
          </w:p>
        </w:tc>
        <w:tc>
          <w:tcPr>
            <w:tcW w:w="7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r>
    </w:tbl>
    <w:p>
      <w:pPr>
        <w:numPr>
          <w:ilvl w:val="0"/>
          <w:numId w:val="4"/>
        </w:numPr>
        <w:spacing w:line="600" w:lineRule="exact"/>
        <w:ind w:left="0" w:leftChars="0"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评价标准</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绩效评价标准通常包括计划标准、行业标准、历史标准等,用于对绩效指标完成情况进行比较。</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（1）计划标准。指以预先制定的目标、计划、预算、定额作为评价标准。</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（2）行业标准。指参照国家公布的行业指标数据制定的评价标准。</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（3）历史标准。指参照历史数据制定的评价标准，为体现绩效改进的原则，在可实现的条件下应当确定相对较高的评价标准。</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（4）财政部门和预算部门确认或认可的其他标准。</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640" w:firstLineChars="200"/>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lang w:val="en-US" w:eastAsia="zh-CN"/>
        </w:rPr>
        <w:t>项目前期，对项目绩效</w:t>
      </w:r>
      <w:r>
        <w:rPr>
          <w:rFonts w:hint="eastAsia" w:eastAsia="仿宋_GB2312"/>
          <w:bCs/>
          <w:kern w:val="44"/>
          <w:sz w:val="32"/>
          <w:szCs w:val="44"/>
          <w:lang w:val="en-US" w:eastAsia="zh-CN"/>
        </w:rPr>
        <w:t>评价指标体系进行完善，</w:t>
      </w:r>
      <w:r>
        <w:rPr>
          <w:rFonts w:hint="eastAsia" w:eastAsia="仿宋_GB2312"/>
          <w:bCs/>
          <w:kern w:val="44"/>
          <w:sz w:val="32"/>
          <w:szCs w:val="44"/>
        </w:rPr>
        <w:t>进一步细化产出</w:t>
      </w:r>
      <w:r>
        <w:rPr>
          <w:rFonts w:hint="eastAsia" w:eastAsia="仿宋_GB2312"/>
          <w:bCs/>
          <w:kern w:val="44"/>
          <w:sz w:val="32"/>
          <w:szCs w:val="44"/>
          <w:lang w:eastAsia="zh-CN"/>
        </w:rPr>
        <w:t>指标</w:t>
      </w:r>
      <w:r>
        <w:rPr>
          <w:rFonts w:hint="eastAsia" w:eastAsia="仿宋_GB2312"/>
          <w:bCs/>
          <w:kern w:val="44"/>
          <w:sz w:val="32"/>
          <w:szCs w:val="44"/>
        </w:rPr>
        <w:t>和</w:t>
      </w:r>
      <w:r>
        <w:rPr>
          <w:rFonts w:hint="eastAsia" w:eastAsia="仿宋_GB2312"/>
          <w:bCs/>
          <w:kern w:val="44"/>
          <w:sz w:val="32"/>
          <w:szCs w:val="44"/>
          <w:lang w:eastAsia="zh-CN"/>
        </w:rPr>
        <w:t>效益</w:t>
      </w:r>
      <w:r>
        <w:rPr>
          <w:rFonts w:hint="eastAsia" w:eastAsia="仿宋_GB2312"/>
          <w:bCs/>
          <w:kern w:val="44"/>
          <w:sz w:val="32"/>
          <w:szCs w:val="44"/>
        </w:rPr>
        <w:t>指标</w:t>
      </w:r>
      <w:r>
        <w:rPr>
          <w:rFonts w:hint="eastAsia" w:eastAsia="仿宋_GB2312"/>
          <w:bCs/>
          <w:kern w:val="44"/>
          <w:sz w:val="32"/>
          <w:szCs w:val="44"/>
          <w:lang w:eastAsia="zh-CN"/>
        </w:rPr>
        <w:t>。结合项目</w:t>
      </w:r>
      <w:r>
        <w:rPr>
          <w:rFonts w:hint="eastAsia" w:ascii="仿宋_GB2312" w:hAnsi="仿宋_GB2312" w:eastAsia="仿宋_GB2312" w:cs="仿宋_GB2312"/>
          <w:sz w:val="32"/>
          <w:szCs w:val="32"/>
          <w:highlight w:val="none"/>
          <w:lang w:eastAsia="zh-CN"/>
        </w:rPr>
        <w:t>具体</w:t>
      </w:r>
      <w:r>
        <w:rPr>
          <w:rFonts w:hint="eastAsia" w:eastAsia="仿宋_GB2312"/>
          <w:bCs/>
          <w:kern w:val="44"/>
          <w:sz w:val="32"/>
          <w:szCs w:val="44"/>
          <w:lang w:eastAsia="zh-CN"/>
        </w:rPr>
        <w:t>实施</w:t>
      </w:r>
      <w:r>
        <w:rPr>
          <w:rFonts w:hint="eastAsia" w:ascii="仿宋_GB2312" w:hAnsi="仿宋_GB2312" w:eastAsia="仿宋_GB2312" w:cs="仿宋_GB2312"/>
          <w:sz w:val="32"/>
          <w:szCs w:val="32"/>
          <w:highlight w:val="none"/>
          <w:lang w:eastAsia="zh-CN"/>
        </w:rPr>
        <w:t>情况，通过现场调研、数据分析、电话邮件等方式，对工作完成情况进行梳理盘点。根据项目完成情况，结合评价过程中收集到的资料，开展项目绩效综合分析，撰写绩效评价报告。</w:t>
      </w:r>
    </w:p>
    <w:p>
      <w:pPr>
        <w:numPr>
          <w:ilvl w:val="0"/>
          <w:numId w:val="1"/>
        </w:numPr>
        <w:spacing w:line="60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综合评价情况及评价结论</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本项目自评基于对论坛组织筹备、论坛会务、论坛宣传报道及论坛专版报道（含直播）等合同服务内容的综合考核及成果。</w:t>
      </w:r>
    </w:p>
    <w:p>
      <w:pPr>
        <w:numPr>
          <w:ilvl w:val="0"/>
          <w:numId w:val="0"/>
        </w:numPr>
        <w:spacing w:line="600" w:lineRule="exact"/>
        <w:ind w:firstLine="640" w:firstLineChars="200"/>
      </w:pPr>
      <w:r>
        <w:rPr>
          <w:rFonts w:hint="eastAsia" w:ascii="仿宋_GB2312" w:hAnsi="仿宋_GB2312" w:eastAsia="仿宋_GB2312" w:cs="仿宋_GB2312"/>
          <w:sz w:val="32"/>
          <w:szCs w:val="32"/>
          <w:highlight w:val="none"/>
          <w:lang w:val="en-US" w:eastAsia="zh-CN"/>
        </w:rPr>
        <w:t>2024北京CBD论坛于2024年6月5日—6月7日集中举办。6月5日</w:t>
      </w:r>
      <w:r>
        <w:rPr>
          <w:rFonts w:hint="eastAsia" w:ascii="仿宋_GB2312" w:hAnsi="仿宋_GB2312" w:eastAsia="仿宋_GB2312" w:cs="仿宋_GB2312"/>
          <w:sz w:val="32"/>
          <w:szCs w:val="32"/>
          <w:lang w:val="en-US" w:eastAsia="zh-CN"/>
        </w:rPr>
        <w:t>论坛开幕式暨北京CBD首届跨国公司大会进行1次网络直播，现场参会听众约500人，直播点击量超过200万人次，全网关于北京CBD论坛的报道超过800篇，网络宣传覆盖超过800万人次。本届论坛在活动规模、嘉宾层次、落地成果及舆论宣传等领域均取得丰硕成果，集中展示我区乃至北京市的国际化营商环境与发展成效，吸引全球目光、激发在京合作，CBD论坛日益成为中国与世界对话的前沿阵地。其中，与联合国开发计划署基于联合国可持续发展目标签约合作，探索打造“零碳CBD”；世界银行、中国美国商会、英中商业发展中心、美国城市土地学会、罗马尼亚—中国国际贸易和经济促进协会等国际组织、国际商协会深度参与议题；国际嘉宾规模远超往届，仅北京CBD跨国公司大会的外籍发言嘉宾总数超过50%，持续打造北京对外开放高地。在论坛举办后，通过实地走访、电话沟通、邮件沟通等多种方式，对论坛满意度进行调查，得到各方一致肯定。基于以上内容，得出项目绩效自评分数，具体如下表：</w:t>
      </w:r>
    </w:p>
    <w:tbl>
      <w:tblPr>
        <w:tblStyle w:val="8"/>
        <w:tblpPr w:leftFromText="180" w:rightFromText="180" w:vertAnchor="text" w:horzAnchor="page" w:tblpX="986" w:tblpY="634"/>
        <w:tblOverlap w:val="never"/>
        <w:tblW w:w="10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42"/>
        <w:gridCol w:w="792"/>
        <w:gridCol w:w="1319"/>
        <w:gridCol w:w="1227"/>
        <w:gridCol w:w="2396"/>
        <w:gridCol w:w="645"/>
        <w:gridCol w:w="915"/>
        <w:gridCol w:w="645"/>
        <w:gridCol w:w="840"/>
        <w:gridCol w:w="555"/>
        <w:gridCol w:w="600"/>
        <w:gridCol w:w="4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13" w:hRule="atLeast"/>
        </w:trPr>
        <w:tc>
          <w:tcPr>
            <w:tcW w:w="10620"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项目名称</w:t>
            </w:r>
          </w:p>
        </w:tc>
        <w:tc>
          <w:tcPr>
            <w:tcW w:w="9586"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北京CBD论坛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0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2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年初预算数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全年预算数</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全年执行数</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执行率</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 w:hRule="atLeast"/>
        </w:trPr>
        <w:tc>
          <w:tcPr>
            <w:tcW w:w="10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2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年度资金总额</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356.3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356.3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0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2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其中：当年财政拨款</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356.3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356.3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0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2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 xml:space="preserve">     上年结转资金</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0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2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 xml:space="preserve">  其他资金</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2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效</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标</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一级指标</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二级指标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绩效指标性质</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绩效度量单位</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完成值</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得分</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累计影响力人次规模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万人次</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800万人次</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网络直播</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次/年</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1次/年</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论坛举办完成时间</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月</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6月</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按要求次数</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次/年</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1次/年</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提升北京CBD国际影响力和社会关注度的总报道篇数</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篇</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800篇</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持续打造北京CBD对外开放高地</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参会人员满意度</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6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成本费用</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360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356.3万元</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902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总分</w:t>
            </w:r>
          </w:p>
        </w:tc>
        <w:tc>
          <w:tcPr>
            <w:tcW w:w="55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bl>
    <w:p>
      <w:pPr>
        <w:pStyle w:val="2"/>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北京市朝阳区国民经济和社会发展第十四个五年规划和二〇三五年远景目标纲要》，提出要“提升CBD论坛国际影响力，打造全球对话交流平台。全面提升CBD区域国际化商务氛围和宜居品质”。2022年4月，北京市朝阳区人民政府印发《CBD功能区“十四五”时期发展规划》，提出要“丰富国际多元文化交流平台。着力提升北京CBD论坛的品牌效应和国际影响力，积极争取纳入北京服务国家战略的国家级重点活动”。项目依据上述政策文件立项，具有政策相关性。，符合CBD管委会提高政府公共服务水平管理要求。</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申报前，项目经过集体决策，研究确定项目预算后上报北京市朝阳区财政局，项目申报程序规范。绩效目标与项目实施内容相符、紧密相关，结合商务中心区管委会的“三定”职责，本项目资金主要用于举办北京CBD论坛进行对外交流宣传，提升CBD国际影响力，实施内容与单位职责相符，绩效目标设定比较合理。</w:t>
      </w:r>
    </w:p>
    <w:p>
      <w:pPr>
        <w:numPr>
          <w:ilvl w:val="0"/>
          <w:numId w:val="0"/>
        </w:num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项目过程情况</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项目预算金额为360万元，截至2024年12月31日，已支出金额为356.3万元，预算执行率98.97%。剩余资金额度3.7万元已由区财政局收回。项目执行过程中，严格按照单位内部控制手册的规定进行资金支出。</w:t>
      </w:r>
    </w:p>
    <w:p>
      <w:pPr>
        <w:pStyle w:val="2"/>
        <w:ind w:firstLine="640" w:firstLineChars="200"/>
        <w:rPr>
          <w:rFonts w:hint="default"/>
          <w:lang w:val="en-US" w:eastAsia="zh-CN"/>
        </w:rPr>
      </w:pPr>
      <w:r>
        <w:rPr>
          <w:rFonts w:hint="eastAsia" w:ascii="仿宋_GB2312" w:hAnsi="仿宋_GB2312" w:eastAsia="仿宋_GB2312" w:cs="仿宋_GB2312"/>
          <w:sz w:val="32"/>
          <w:szCs w:val="32"/>
          <w:lang w:val="en-US" w:eastAsia="zh-CN"/>
        </w:rPr>
        <w:t>论坛会务和论坛组织筹备项目采用竞争性磋商的方式选取了服务单位；论坛宣传报道项目按照单位采购管理办法的要求采用比选的方式选取服务单位；论坛专版报道（含直播）采用直接委托的方式选取服务单位。</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产出数量：举办2024北京CBD论坛。</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产出质量：论坛开幕式当日进行1次网络直播，现场参会听众约500人，直播点击量超过200万人次，论坛网络宣传覆盖约800万人次。</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产出时效：北京CBD论坛在1—3月进行前期走访、方案制定、内容策划等事前准备工作，在4—5月进行嘉宾邀请、会务设计、执行方案制定、预热宣传等集中工作，6月5日实施论坛。</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产出成本：论坛组织筹备108.00万元，论坛会务138.50万元；论坛宣传报道79.80万元，专版报道（含直播）30.00万元。</w:t>
      </w:r>
    </w:p>
    <w:p>
      <w:pPr>
        <w:numPr>
          <w:ilvl w:val="0"/>
          <w:numId w:val="0"/>
        </w:num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（四）项目效益情况</w:t>
      </w:r>
    </w:p>
    <w:p>
      <w:pPr>
        <w:pStyle w:val="2"/>
        <w:numPr>
          <w:ilvl w:val="0"/>
          <w:numId w:val="0"/>
        </w:numPr>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北京CBD论坛受到与会领导、嘉宾、听众和企业的一致好评，集中展示朝阳区和北京CBD发展成就、国际形象、营商环境及区域特色，推动招商引资，促进产业发展，畅通开放渠道。</w:t>
      </w:r>
    </w:p>
    <w:p>
      <w:pPr>
        <w:numPr>
          <w:ilvl w:val="0"/>
          <w:numId w:val="5"/>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line="600" w:lineRule="exact"/>
        <w:ind w:firstLine="640" w:firstLineChars="200"/>
      </w:pPr>
      <w:r>
        <w:rPr>
          <w:rFonts w:hint="eastAsia" w:ascii="仿宋_GB2312" w:hAnsi="仿宋_GB2312" w:eastAsia="仿宋_GB2312" w:cs="仿宋_GB2312"/>
          <w:sz w:val="32"/>
          <w:szCs w:val="32"/>
          <w:highlight w:val="none"/>
          <w:lang w:eastAsia="zh-CN"/>
        </w:rPr>
        <w:t>加强项目的预算管理，在项目决策阶段需要明确项目的需求,有必要开展可行性研究，确定合理的人机物消耗价格，进一步优化人员配置和现场管理标准，提高项目实施的经济性。</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pStyle w:val="2"/>
        <w:numPr>
          <w:ilvl w:val="0"/>
          <w:numId w:val="0"/>
        </w:num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pStyle w:val="2"/>
        <w:numPr>
          <w:ilvl w:val="0"/>
          <w:numId w:val="0"/>
        </w:num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无</w:t>
      </w:r>
    </w:p>
    <w:p>
      <w:pPr>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rPr>
      </w:pPr>
    </w:p>
    <w:p>
      <w:pPr>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rPr>
      </w:pPr>
    </w:p>
    <w:p>
      <w:pPr>
        <w:keepNext w:val="0"/>
        <w:keepLines w:val="0"/>
        <w:pageBreakBefore w:val="0"/>
        <w:widowControl w:val="0"/>
        <w:kinsoku/>
        <w:overflowPunct/>
        <w:topLinePunct w:val="0"/>
        <w:autoSpaceDE/>
        <w:autoSpaceDN/>
        <w:bidi w:val="0"/>
        <w:adjustRightInd/>
        <w:snapToGrid/>
        <w:ind w:right="0" w:rightChars="0" w:firstLine="640" w:firstLineChars="200"/>
        <w:jc w:val="righ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北京商务中心区管理委员会</w:t>
      </w:r>
    </w:p>
    <w:p>
      <w:pPr>
        <w:keepNext w:val="0"/>
        <w:keepLines w:val="0"/>
        <w:pageBreakBefore w:val="0"/>
        <w:widowControl w:val="0"/>
        <w:kinsoku/>
        <w:wordWrap w:val="0"/>
        <w:overflowPunct/>
        <w:topLinePunct w:val="0"/>
        <w:autoSpaceDE/>
        <w:autoSpaceDN/>
        <w:bidi w:val="0"/>
        <w:adjustRightInd/>
        <w:snapToGrid/>
        <w:ind w:right="0" w:rightChars="0" w:firstLine="640" w:firstLineChars="200"/>
        <w:jc w:val="right"/>
        <w:textAlignment w:val="auto"/>
        <w:rPr>
          <w:rFonts w:hint="eastAsia" w:ascii="Times New Roman" w:hAnsi="Times New Roman" w:cs="Times New Roman"/>
          <w:lang w:val="en-US" w:eastAsia="zh-CN"/>
        </w:rPr>
      </w:pPr>
      <w:r>
        <w:rPr>
          <w:rFonts w:hint="default" w:ascii="Times New Roman" w:hAnsi="Times New Roman" w:eastAsia="仿宋_GB2312" w:cs="Times New Roman"/>
          <w:color w:val="000000"/>
          <w:kern w:val="0"/>
          <w:sz w:val="32"/>
          <w:szCs w:val="32"/>
        </w:rPr>
        <w:t>202</w:t>
      </w:r>
      <w:r>
        <w:rPr>
          <w:rFonts w:hint="eastAsia"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年</w:t>
      </w:r>
      <w:r>
        <w:rPr>
          <w:rFonts w:hint="eastAsia"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highlight w:val="none"/>
        </w:rPr>
        <w:t>月</w:t>
      </w:r>
      <w:r>
        <w:rPr>
          <w:rFonts w:hint="eastAsia" w:ascii="Times New Roman" w:hAnsi="Times New Roman" w:eastAsia="仿宋_GB2312" w:cs="Times New Roman"/>
          <w:color w:val="000000"/>
          <w:kern w:val="0"/>
          <w:sz w:val="32"/>
          <w:szCs w:val="32"/>
          <w:highlight w:val="none"/>
          <w:lang w:val="en-US" w:eastAsia="zh-CN"/>
        </w:rPr>
        <w:t>17</w:t>
      </w:r>
      <w:r>
        <w:rPr>
          <w:rFonts w:hint="default" w:ascii="Times New Roman" w:hAnsi="Times New Roman" w:eastAsia="仿宋_GB2312" w:cs="Times New Roman"/>
          <w:color w:val="000000"/>
          <w:kern w:val="0"/>
          <w:sz w:val="32"/>
          <w:szCs w:val="32"/>
          <w:highlight w:val="none"/>
        </w:rPr>
        <w:t>日</w:t>
      </w:r>
      <w:r>
        <w:rPr>
          <w:rFonts w:hint="default" w:ascii="Times New Roman" w:hAnsi="Times New Roman" w:eastAsia="仿宋_GB2312" w:cs="Times New Roman"/>
          <w:color w:val="000000"/>
          <w:kern w:val="0"/>
          <w:sz w:val="32"/>
          <w:szCs w:val="32"/>
        </w:rPr>
        <w:t xml:space="preserve"> </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 xml:space="preserve">  </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decorative"/>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E4D105"/>
    <w:multiLevelType w:val="singleLevel"/>
    <w:tmpl w:val="99E4D105"/>
    <w:lvl w:ilvl="0" w:tentative="0">
      <w:start w:val="5"/>
      <w:numFmt w:val="chineseCounting"/>
      <w:suff w:val="nothing"/>
      <w:lvlText w:val="%1、"/>
      <w:lvlJc w:val="left"/>
      <w:rPr>
        <w:rFonts w:hint="eastAsia"/>
      </w:rPr>
    </w:lvl>
  </w:abstractNum>
  <w:abstractNum w:abstractNumId="1">
    <w:nsid w:val="BFB9475F"/>
    <w:multiLevelType w:val="singleLevel"/>
    <w:tmpl w:val="BFB9475F"/>
    <w:lvl w:ilvl="0" w:tentative="0">
      <w:start w:val="1"/>
      <w:numFmt w:val="decimal"/>
      <w:lvlText w:val="%1."/>
      <w:lvlJc w:val="left"/>
      <w:pPr>
        <w:tabs>
          <w:tab w:val="left" w:pos="312"/>
        </w:tabs>
      </w:pPr>
    </w:lvl>
  </w:abstractNum>
  <w:abstractNum w:abstractNumId="2">
    <w:nsid w:val="3F3E2F7E"/>
    <w:multiLevelType w:val="singleLevel"/>
    <w:tmpl w:val="3F3E2F7E"/>
    <w:lvl w:ilvl="0" w:tentative="0">
      <w:start w:val="1"/>
      <w:numFmt w:val="decimal"/>
      <w:lvlText w:val="%1."/>
      <w:lvlJc w:val="left"/>
      <w:pPr>
        <w:tabs>
          <w:tab w:val="left" w:pos="312"/>
        </w:tabs>
      </w:pPr>
    </w:lvl>
  </w:abstractNum>
  <w:abstractNum w:abstractNumId="3">
    <w:nsid w:val="438F82E0"/>
    <w:multiLevelType w:val="singleLevel"/>
    <w:tmpl w:val="438F82E0"/>
    <w:lvl w:ilvl="0" w:tentative="0">
      <w:start w:val="1"/>
      <w:numFmt w:val="decimal"/>
      <w:lvlText w:val="%1."/>
      <w:lvlJc w:val="left"/>
      <w:pPr>
        <w:tabs>
          <w:tab w:val="left" w:pos="312"/>
        </w:tabs>
      </w:pPr>
    </w:lvl>
  </w:abstractNum>
  <w:abstractNum w:abstractNumId="4">
    <w:nsid w:val="67886A0B"/>
    <w:multiLevelType w:val="singleLevel"/>
    <w:tmpl w:val="67886A0B"/>
    <w:lvl w:ilvl="0" w:tentative="0">
      <w:start w:val="1"/>
      <w:numFmt w:val="chineseCounting"/>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7918A7"/>
    <w:rsid w:val="00BB3BDA"/>
    <w:rsid w:val="00F84B2A"/>
    <w:rsid w:val="022757C6"/>
    <w:rsid w:val="03EE5995"/>
    <w:rsid w:val="04A42562"/>
    <w:rsid w:val="05730F71"/>
    <w:rsid w:val="05DC7EA8"/>
    <w:rsid w:val="06381AF5"/>
    <w:rsid w:val="078F243D"/>
    <w:rsid w:val="083E51F8"/>
    <w:rsid w:val="0931731F"/>
    <w:rsid w:val="09322577"/>
    <w:rsid w:val="09521ACB"/>
    <w:rsid w:val="09564570"/>
    <w:rsid w:val="0A477EA5"/>
    <w:rsid w:val="0A8A585C"/>
    <w:rsid w:val="0AA154D3"/>
    <w:rsid w:val="0ABB2581"/>
    <w:rsid w:val="0CEA5C6C"/>
    <w:rsid w:val="0E4C6590"/>
    <w:rsid w:val="0E7949DD"/>
    <w:rsid w:val="0FE82E5E"/>
    <w:rsid w:val="100D5099"/>
    <w:rsid w:val="10D51ACA"/>
    <w:rsid w:val="11595D42"/>
    <w:rsid w:val="118E5FAD"/>
    <w:rsid w:val="11AE505C"/>
    <w:rsid w:val="12191122"/>
    <w:rsid w:val="1221415D"/>
    <w:rsid w:val="12820357"/>
    <w:rsid w:val="12FB1647"/>
    <w:rsid w:val="13FF7192"/>
    <w:rsid w:val="14DD5A9D"/>
    <w:rsid w:val="15EC1276"/>
    <w:rsid w:val="16075032"/>
    <w:rsid w:val="16F24889"/>
    <w:rsid w:val="17997E99"/>
    <w:rsid w:val="17F10510"/>
    <w:rsid w:val="18446215"/>
    <w:rsid w:val="18C33759"/>
    <w:rsid w:val="18EF0FBC"/>
    <w:rsid w:val="19804FCE"/>
    <w:rsid w:val="1A032406"/>
    <w:rsid w:val="1A3C7BDF"/>
    <w:rsid w:val="1B265F9D"/>
    <w:rsid w:val="1B2D78FC"/>
    <w:rsid w:val="1BAB4271"/>
    <w:rsid w:val="1CBB3042"/>
    <w:rsid w:val="1CE42D37"/>
    <w:rsid w:val="1EC31485"/>
    <w:rsid w:val="1FA31EA6"/>
    <w:rsid w:val="1FB65464"/>
    <w:rsid w:val="1FE77BA5"/>
    <w:rsid w:val="20BB6FEA"/>
    <w:rsid w:val="218E634D"/>
    <w:rsid w:val="22C30321"/>
    <w:rsid w:val="22E06382"/>
    <w:rsid w:val="23512450"/>
    <w:rsid w:val="2382399B"/>
    <w:rsid w:val="23943E6D"/>
    <w:rsid w:val="240155BA"/>
    <w:rsid w:val="244B2889"/>
    <w:rsid w:val="24DF7321"/>
    <w:rsid w:val="26356907"/>
    <w:rsid w:val="26436641"/>
    <w:rsid w:val="2739048F"/>
    <w:rsid w:val="275759C3"/>
    <w:rsid w:val="28AB38A5"/>
    <w:rsid w:val="294F36A2"/>
    <w:rsid w:val="2A0A34FC"/>
    <w:rsid w:val="2ABE41B3"/>
    <w:rsid w:val="2B8843E9"/>
    <w:rsid w:val="2C6D5ABC"/>
    <w:rsid w:val="2D723E3D"/>
    <w:rsid w:val="2DDF245B"/>
    <w:rsid w:val="2EA55411"/>
    <w:rsid w:val="2EAC67C1"/>
    <w:rsid w:val="2F3A4CBA"/>
    <w:rsid w:val="2F7D6B2F"/>
    <w:rsid w:val="307F7C25"/>
    <w:rsid w:val="31572F55"/>
    <w:rsid w:val="31AF3171"/>
    <w:rsid w:val="31BA1A92"/>
    <w:rsid w:val="31E3359B"/>
    <w:rsid w:val="31F84040"/>
    <w:rsid w:val="3281384E"/>
    <w:rsid w:val="329D1FAB"/>
    <w:rsid w:val="337B3B3B"/>
    <w:rsid w:val="33846C2E"/>
    <w:rsid w:val="33B93D5A"/>
    <w:rsid w:val="346E288F"/>
    <w:rsid w:val="352E7A98"/>
    <w:rsid w:val="37173543"/>
    <w:rsid w:val="376A7B93"/>
    <w:rsid w:val="37DB148B"/>
    <w:rsid w:val="39852CB8"/>
    <w:rsid w:val="39FC42A3"/>
    <w:rsid w:val="3AD00E9D"/>
    <w:rsid w:val="3B667BA6"/>
    <w:rsid w:val="3C5B7BEB"/>
    <w:rsid w:val="3D6402C9"/>
    <w:rsid w:val="3DC008C2"/>
    <w:rsid w:val="3E23529D"/>
    <w:rsid w:val="3FEA7E02"/>
    <w:rsid w:val="3FF76880"/>
    <w:rsid w:val="41B11B07"/>
    <w:rsid w:val="41B247E6"/>
    <w:rsid w:val="41BE4121"/>
    <w:rsid w:val="421376C5"/>
    <w:rsid w:val="4270592B"/>
    <w:rsid w:val="43744EF9"/>
    <w:rsid w:val="43CA084C"/>
    <w:rsid w:val="448D4FA8"/>
    <w:rsid w:val="4616527D"/>
    <w:rsid w:val="47D64AD1"/>
    <w:rsid w:val="485B7B4F"/>
    <w:rsid w:val="48A329E3"/>
    <w:rsid w:val="498550F5"/>
    <w:rsid w:val="4CFA6B80"/>
    <w:rsid w:val="4D6843D7"/>
    <w:rsid w:val="4DA90DE4"/>
    <w:rsid w:val="4EB128BD"/>
    <w:rsid w:val="4F351A17"/>
    <w:rsid w:val="50290C58"/>
    <w:rsid w:val="52B6643C"/>
    <w:rsid w:val="52F071F9"/>
    <w:rsid w:val="537E7759"/>
    <w:rsid w:val="5466385C"/>
    <w:rsid w:val="576E38BD"/>
    <w:rsid w:val="580B5CD1"/>
    <w:rsid w:val="59CB1C7F"/>
    <w:rsid w:val="59E52362"/>
    <w:rsid w:val="5BC81F19"/>
    <w:rsid w:val="5C073259"/>
    <w:rsid w:val="5E565355"/>
    <w:rsid w:val="5EAA2F52"/>
    <w:rsid w:val="5EED26FA"/>
    <w:rsid w:val="5F003D89"/>
    <w:rsid w:val="5F28465D"/>
    <w:rsid w:val="5FA157E3"/>
    <w:rsid w:val="61071596"/>
    <w:rsid w:val="61372746"/>
    <w:rsid w:val="615C0896"/>
    <w:rsid w:val="62297F67"/>
    <w:rsid w:val="63FA3646"/>
    <w:rsid w:val="641B568D"/>
    <w:rsid w:val="64384866"/>
    <w:rsid w:val="65447812"/>
    <w:rsid w:val="655F6BFE"/>
    <w:rsid w:val="677468C0"/>
    <w:rsid w:val="67C64DE4"/>
    <w:rsid w:val="6A234FFC"/>
    <w:rsid w:val="6AC95DBE"/>
    <w:rsid w:val="6B5E4328"/>
    <w:rsid w:val="6C0E1C6F"/>
    <w:rsid w:val="6C5E4792"/>
    <w:rsid w:val="6D496F1B"/>
    <w:rsid w:val="6F142131"/>
    <w:rsid w:val="714B0BAC"/>
    <w:rsid w:val="71AE6998"/>
    <w:rsid w:val="71CC07A5"/>
    <w:rsid w:val="72101324"/>
    <w:rsid w:val="72A1662D"/>
    <w:rsid w:val="72AB553A"/>
    <w:rsid w:val="736424F3"/>
    <w:rsid w:val="739F2C69"/>
    <w:rsid w:val="73AC35A3"/>
    <w:rsid w:val="741A106C"/>
    <w:rsid w:val="77384FBA"/>
    <w:rsid w:val="78F87955"/>
    <w:rsid w:val="79A304E1"/>
    <w:rsid w:val="7A0A6904"/>
    <w:rsid w:val="7AB7FF50"/>
    <w:rsid w:val="7ABA6650"/>
    <w:rsid w:val="7ADC0E50"/>
    <w:rsid w:val="7AEC3B4C"/>
    <w:rsid w:val="7BFEB0DB"/>
    <w:rsid w:val="7DA942EE"/>
    <w:rsid w:val="7E821B6E"/>
    <w:rsid w:val="7EA42BD8"/>
    <w:rsid w:val="7EDC123A"/>
    <w:rsid w:val="7F7430FA"/>
    <w:rsid w:val="7F8327C3"/>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paragraph" w:customStyle="1" w:styleId="9">
    <w:name w:val="列出段落1"/>
    <w:basedOn w:val="1"/>
    <w:qFormat/>
    <w:uiPriority w:val="34"/>
    <w:pPr>
      <w:ind w:firstLine="420" w:firstLineChars="200"/>
    </w:pPr>
    <w:rPr>
      <w:rFonts w:ascii="Calibri" w:hAnsi="Calibri" w:cs="黑体"/>
      <w:szCs w:val="22"/>
    </w:rPr>
  </w:style>
  <w:style w:type="character" w:customStyle="1" w:styleId="10">
    <w:name w:val="font91"/>
    <w:basedOn w:val="6"/>
    <w:uiPriority w:val="0"/>
    <w:rPr>
      <w:rFonts w:hint="default" w:ascii="Times New Roman" w:hAnsi="Times New Roman" w:cs="Times New Roman"/>
      <w:color w:val="000000"/>
      <w:sz w:val="18"/>
      <w:szCs w:val="18"/>
      <w:u w:val="none"/>
    </w:rPr>
  </w:style>
  <w:style w:type="character" w:customStyle="1" w:styleId="11">
    <w:name w:val="font41"/>
    <w:basedOn w:val="6"/>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21</Characters>
  <Lines>1</Lines>
  <Paragraphs>1</Paragraphs>
  <ScaleCrop>false</ScaleCrop>
  <LinksUpToDate>false</LinksUpToDate>
  <CharactersWithSpaces>286</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Administrator</cp:lastModifiedBy>
  <cp:lastPrinted>2025-01-16T07:21:00Z</cp:lastPrinted>
  <dcterms:modified xsi:type="dcterms:W3CDTF">2025-02-19T07:39:14Z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